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F1ACE" w:rsidR="001F1ACE" w:rsidP="001F1ACE" w:rsidRDefault="001F1ACE" w14:paraId="9d25b85" w14:textId="9d25b85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F1AC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</w:p>
    <w:p w:rsidRPr="001F1ACE" w:rsidR="001F1ACE" w:rsidP="001F1ACE" w:rsidRDefault="001F1AC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>TRGOVAČKI SUD U PAZINU</w:t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</w:p>
    <w:p w:rsidRPr="001F1ACE" w:rsidR="001F1ACE" w:rsidP="001F1ACE" w:rsidRDefault="001F1AC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1F1ACE">
        <w:rPr>
          <w:rFonts w:eastAsia="Times New Roman" w:cs="Arial"/>
          <w:bCs/>
          <w:szCs w:val="24"/>
          <w:lang w:eastAsia="hr-HR"/>
        </w:rPr>
        <w:br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</w:p>
    <w:p w:rsidRPr="001F1ACE" w:rsidR="001F1ACE" w:rsidP="001F1ACE" w:rsidRDefault="001F1ACE">
      <w:pPr>
        <w:spacing w:after="0" w:line="240" w:lineRule="atLeast"/>
        <w:ind w:left="6372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1F1ACE">
        <w:rPr>
          <w:rFonts w:eastAsia="Times New Roman" w:cs="Arial"/>
          <w:bCs/>
          <w:szCs w:val="24"/>
          <w:lang w:eastAsia="hr-HR"/>
        </w:rPr>
        <w:t>St-</w:t>
      </w:r>
      <w:r>
        <w:rPr>
          <w:rFonts w:eastAsia="Times New Roman" w:cs="Arial"/>
          <w:bCs/>
          <w:szCs w:val="24"/>
          <w:lang w:eastAsia="hr-HR"/>
        </w:rPr>
        <w:t>282</w:t>
      </w:r>
      <w:r w:rsidRPr="001F1ACE">
        <w:rPr>
          <w:rFonts w:eastAsia="Times New Roman" w:cs="Arial"/>
          <w:bCs/>
          <w:szCs w:val="24"/>
          <w:lang w:eastAsia="hr-HR"/>
        </w:rPr>
        <w:t>/20</w:t>
      </w:r>
      <w:r>
        <w:rPr>
          <w:rFonts w:eastAsia="Times New Roman" w:cs="Arial"/>
          <w:bCs/>
          <w:szCs w:val="24"/>
          <w:lang w:eastAsia="hr-HR"/>
        </w:rPr>
        <w:t>22</w:t>
      </w:r>
      <w:r w:rsidRPr="006A66B5">
        <w:rPr>
          <w:rFonts w:eastAsia="Times New Roman" w:cs="Arial"/>
          <w:bCs/>
          <w:szCs w:val="24"/>
          <w:lang w:eastAsia="hr-HR"/>
        </w:rPr>
        <w:t>-78</w:t>
      </w:r>
    </w:p>
    <w:p w:rsidR="001F1ACE" w:rsidP="001F1ACE" w:rsidRDefault="001F1AC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</w:p>
    <w:p w:rsidRPr="001F1ACE" w:rsidR="008C59FA" w:rsidP="001F1ACE" w:rsidRDefault="008C59F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>Z A P I S N I K</w:t>
      </w:r>
    </w:p>
    <w:p w:rsidRPr="001F1ACE" w:rsidR="001F1ACE" w:rsidP="001F1ACE" w:rsidRDefault="001F1A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Od 21. ožujka 2025</w:t>
      </w:r>
      <w:r w:rsidRPr="001F1ACE">
        <w:rPr>
          <w:rFonts w:eastAsia="Times New Roman" w:cs="Arial"/>
          <w:bCs/>
          <w:szCs w:val="24"/>
          <w:lang w:eastAsia="hr-HR"/>
        </w:rPr>
        <w:t>.</w:t>
      </w:r>
    </w:p>
    <w:p w:rsidRPr="001F1ACE" w:rsidR="001F1ACE" w:rsidP="001F1ACE" w:rsidRDefault="001F1AC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 xml:space="preserve">Sastavljen kod Trgovačkog suda u Pazinu </w:t>
      </w:r>
    </w:p>
    <w:p w:rsidRPr="001F1ACE" w:rsidR="001F1ACE" w:rsidP="001F1ACE" w:rsidRDefault="001F1AC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 xml:space="preserve">o završnom ročištu vjerovnika </w:t>
      </w:r>
    </w:p>
    <w:p w:rsidRPr="001F1ACE" w:rsidR="001F1ACE" w:rsidP="001F1ACE" w:rsidRDefault="001F1AC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>u stečajnom postupku nad dužnikom PRODUZIONE ECO d.o.o. u stečaju, OIB 93307019963, Ulica Tribje 23, Umag</w:t>
      </w:r>
    </w:p>
    <w:p w:rsidR="001F1ACE" w:rsidP="001F1ACE" w:rsidRDefault="001F1AC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 xml:space="preserve">  </w:t>
      </w:r>
    </w:p>
    <w:p w:rsidRPr="001F1ACE" w:rsidR="008C59FA" w:rsidP="001F1ACE" w:rsidRDefault="008C59F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>OD SUDA NAZOČNI:</w:t>
      </w:r>
    </w:p>
    <w:p w:rsidRPr="001F1ACE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>Damir Rabar, stečajni sudac</w:t>
      </w:r>
    </w:p>
    <w:p w:rsidRPr="001F1ACE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F1ACE" w:rsidR="008C59FA" w:rsidP="001F1ACE" w:rsidRDefault="008C59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10</w:t>
      </w:r>
      <w:r w:rsidRPr="001F1ACE">
        <w:rPr>
          <w:rFonts w:eastAsia="Times New Roman" w:cs="Arial"/>
          <w:bCs/>
          <w:szCs w:val="24"/>
          <w:lang w:eastAsia="hr-HR"/>
        </w:rPr>
        <w:t>:00 sati. Ročište je javno.</w:t>
      </w:r>
    </w:p>
    <w:p w:rsidRPr="006A66B5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A66B5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6A66B5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A66B5">
        <w:rPr>
          <w:rFonts w:eastAsia="Times New Roman" w:cs="Arial"/>
          <w:bCs/>
          <w:szCs w:val="24"/>
          <w:lang w:eastAsia="hr-HR"/>
        </w:rPr>
        <w:t>- stečajni upravitelj Tihomir Zec</w:t>
      </w:r>
      <w:r w:rsidRPr="006A66B5" w:rsidR="006A66B5">
        <w:rPr>
          <w:rFonts w:eastAsia="Times New Roman" w:cs="Arial"/>
          <w:bCs/>
          <w:szCs w:val="24"/>
          <w:lang w:eastAsia="hr-HR"/>
        </w:rPr>
        <w:t>, na daljinu</w:t>
      </w:r>
    </w:p>
    <w:p w:rsidRPr="006A66B5" w:rsidR="006A66B5" w:rsidP="001F1ACE" w:rsidRDefault="006A66B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A66B5">
        <w:rPr>
          <w:rFonts w:eastAsia="Times New Roman" w:cs="Arial"/>
          <w:bCs/>
          <w:szCs w:val="24"/>
          <w:lang w:eastAsia="hr-HR"/>
        </w:rPr>
        <w:t xml:space="preserve">- Nikola Sabljak i Lucija Matić, </w:t>
      </w:r>
      <w:r>
        <w:rPr>
          <w:rFonts w:eastAsia="Times New Roman" w:cs="Arial"/>
          <w:bCs/>
          <w:szCs w:val="24"/>
          <w:lang w:eastAsia="hr-HR"/>
        </w:rPr>
        <w:t>priprav</w:t>
      </w:r>
      <w:r w:rsidRPr="006A66B5">
        <w:rPr>
          <w:rFonts w:eastAsia="Times New Roman" w:cs="Arial"/>
          <w:bCs/>
          <w:szCs w:val="24"/>
          <w:lang w:eastAsia="hr-HR"/>
        </w:rPr>
        <w:t>nici za stečajnog upravitelja, na daljinu</w:t>
      </w:r>
    </w:p>
    <w:p w:rsidR="006A66B5" w:rsidP="001F1ACE" w:rsidRDefault="006A66B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- za vjerovnika Republiku Hrvatsku, viša državnoodvjetnička savjetnica u ŽDO Pula, </w:t>
      </w:r>
    </w:p>
    <w:p w:rsidR="001F1ACE" w:rsidP="001F1ACE" w:rsidRDefault="006A66B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Dunja Kalčić, na daljinu</w:t>
      </w:r>
    </w:p>
    <w:p w:rsidR="006A66B5" w:rsidP="006A66B5" w:rsidRDefault="006A66B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A66B5">
        <w:rPr>
          <w:rFonts w:eastAsia="Times New Roman" w:cs="Arial"/>
          <w:bCs/>
          <w:szCs w:val="24"/>
          <w:lang w:eastAsia="hr-HR"/>
        </w:rPr>
        <w:t>-</w:t>
      </w:r>
      <w:r>
        <w:rPr>
          <w:rFonts w:eastAsia="Times New Roman" w:cs="Arial"/>
          <w:bCs/>
          <w:szCs w:val="24"/>
          <w:lang w:eastAsia="hr-HR"/>
        </w:rPr>
        <w:t xml:space="preserve"> za vjerovnika TETRA NEKRETNINE d.o.o., pun. Krunoslav Šimić, punomoćnik po </w:t>
      </w:r>
    </w:p>
    <w:p w:rsidRPr="006A66B5" w:rsidR="006A66B5" w:rsidP="006A66B5" w:rsidRDefault="006A66B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zaposlenju, na daljinu</w:t>
      </w:r>
    </w:p>
    <w:p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F1ACE" w:rsidR="008C59FA" w:rsidP="001F1ACE" w:rsidRDefault="008C59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>Dnevni red završnog ročišta vjerovnika:</w:t>
      </w:r>
    </w:p>
    <w:p w:rsidRPr="001F1ACE" w:rsidR="001F1ACE" w:rsidP="001F1ACE" w:rsidRDefault="001F1ACE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1. rasprava</w:t>
      </w:r>
      <w:r w:rsidRPr="001F1ACE">
        <w:rPr>
          <w:rFonts w:eastAsia="Times New Roman" w:cs="Arial"/>
          <w:bCs/>
          <w:szCs w:val="24"/>
          <w:lang w:eastAsia="hr-HR"/>
        </w:rPr>
        <w:t xml:space="preserve"> o završnom računu stečajnog upravitelja</w:t>
      </w:r>
    </w:p>
    <w:p w:rsidRPr="001F1ACE" w:rsidR="001F1ACE" w:rsidP="001F1ACE" w:rsidRDefault="001F1ACE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2. podnošenje</w:t>
      </w:r>
      <w:r w:rsidRPr="001F1ACE">
        <w:rPr>
          <w:rFonts w:eastAsia="Times New Roman" w:cs="Arial"/>
          <w:bCs/>
          <w:szCs w:val="24"/>
          <w:lang w:eastAsia="hr-HR"/>
        </w:rPr>
        <w:t xml:space="preserve"> </w:t>
      </w:r>
      <w:r>
        <w:rPr>
          <w:rFonts w:eastAsia="Times New Roman" w:cs="Arial"/>
          <w:bCs/>
          <w:szCs w:val="24"/>
          <w:lang w:eastAsia="hr-HR"/>
        </w:rPr>
        <w:t>prigovore</w:t>
      </w:r>
      <w:r w:rsidRPr="001F1ACE">
        <w:rPr>
          <w:rFonts w:eastAsia="Times New Roman" w:cs="Arial"/>
          <w:bCs/>
          <w:szCs w:val="24"/>
          <w:lang w:eastAsia="hr-HR"/>
        </w:rPr>
        <w:t xml:space="preserve"> na završni popis</w:t>
      </w:r>
    </w:p>
    <w:p w:rsidRPr="001F1ACE" w:rsidR="001F1ACE" w:rsidP="001F1ACE" w:rsidRDefault="001F1ACE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>3. vjerovnici odlučuju o neunovčenim predmetima stečajne mase i o nenaplaćenim tražbinama</w:t>
      </w:r>
      <w:r>
        <w:rPr>
          <w:rFonts w:eastAsia="Times New Roman" w:cs="Arial"/>
          <w:bCs/>
          <w:szCs w:val="24"/>
          <w:lang w:eastAsia="hr-HR"/>
        </w:rPr>
        <w:t>.</w:t>
      </w:r>
    </w:p>
    <w:p w:rsidRPr="001F1ACE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ab/>
        <w:t>Konstatira se da je završni račun objavljen na e-Oglasnoj ploči suda 6. veljače 2025.</w:t>
      </w:r>
    </w:p>
    <w:p w:rsidRPr="001F1ACE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ab/>
        <w:t>Prelazi se na točku 1. dnevnog reda:</w:t>
      </w:r>
    </w:p>
    <w:p w:rsidR="001F1ACE" w:rsidP="001F1ACE" w:rsidRDefault="006A66B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Stečajni upravitelj ističe kako je unovčena sva imovina stečajnog dužnika, namireni su svi vjerovnici, te je preostao dio sredstava za isplatu osnivaču društva dužnika.</w:t>
      </w:r>
    </w:p>
    <w:p w:rsidR="006A66B5" w:rsidP="001F1ACE" w:rsidRDefault="006A66B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Nazočni vjerovnici prihvaćaju u cijelosti završni račun i izvješće stečajnog upravitelja.</w:t>
      </w:r>
    </w:p>
    <w:p w:rsidR="006A66B5" w:rsidP="001F1ACE" w:rsidRDefault="006A66B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Prelazi se na točku 2</w:t>
      </w:r>
      <w:r w:rsidRPr="001F1ACE">
        <w:rPr>
          <w:rFonts w:eastAsia="Times New Roman" w:cs="Arial"/>
          <w:bCs/>
          <w:szCs w:val="24"/>
          <w:lang w:eastAsia="hr-HR"/>
        </w:rPr>
        <w:t>. dnevnog reda:</w:t>
      </w:r>
    </w:p>
    <w:p w:rsidR="006A66B5" w:rsidP="006A66B5" w:rsidRDefault="006A66B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Nije bilo primjedbi na završni popis.</w:t>
      </w:r>
    </w:p>
    <w:p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Prelazi se na točku 3</w:t>
      </w:r>
      <w:r w:rsidRPr="001F1ACE">
        <w:rPr>
          <w:rFonts w:eastAsia="Times New Roman" w:cs="Arial"/>
          <w:bCs/>
          <w:szCs w:val="24"/>
          <w:lang w:eastAsia="hr-HR"/>
        </w:rPr>
        <w:t>. dnevnog reda:</w:t>
      </w:r>
    </w:p>
    <w:p w:rsidRPr="001F1ACE" w:rsidR="001F1ACE" w:rsidP="001F1ACE" w:rsidRDefault="006A66B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lastRenderedPageBreak/>
        <w:tab/>
        <w:t>Sva imovina stečajnog dužnika je unovčena.</w:t>
      </w:r>
    </w:p>
    <w:p w:rsidRPr="001F1ACE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tabs>
          <w:tab w:val="left" w:pos="1680"/>
        </w:tabs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ab/>
        <w:t>Sudac donosi</w:t>
      </w:r>
    </w:p>
    <w:p w:rsidRPr="001F1ACE" w:rsidR="001F1ACE" w:rsidP="001F1ACE" w:rsidRDefault="001F1A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>r j e š e nj e</w:t>
      </w:r>
    </w:p>
    <w:p w:rsidR="001F1ACE" w:rsidP="001F1ACE" w:rsidRDefault="001F1A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8C59FA" w:rsidR="001F1ACE" w:rsidP="001F1ACE" w:rsidRDefault="001F1AC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C59FA">
        <w:rPr>
          <w:rFonts w:eastAsia="Times New Roman" w:cs="Arial"/>
          <w:bCs/>
          <w:szCs w:val="24"/>
          <w:lang w:eastAsia="hr-HR"/>
        </w:rPr>
        <w:tab/>
        <w:t>Nakon što stečajni upravitelj izvijesti sud da je izvršio isplatu po završnom diobnom popisu, donijeti će se odluka o zaključenju stečajnog postupka.</w:t>
      </w:r>
    </w:p>
    <w:p w:rsidRPr="008C59FA" w:rsidR="001F1ACE" w:rsidP="001F1ACE" w:rsidRDefault="001F1AC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C59FA">
        <w:rPr>
          <w:rFonts w:eastAsia="Times New Roman" w:cs="Arial"/>
          <w:bCs/>
          <w:szCs w:val="24"/>
          <w:lang w:eastAsia="hr-HR"/>
        </w:rPr>
        <w:tab/>
      </w:r>
    </w:p>
    <w:p w:rsidRPr="008C59FA" w:rsidR="001F1ACE" w:rsidP="001F1ACE" w:rsidRDefault="001F1AC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C59FA">
        <w:rPr>
          <w:rFonts w:eastAsia="Times New Roman" w:cs="Arial"/>
          <w:bCs/>
          <w:szCs w:val="24"/>
          <w:lang w:eastAsia="hr-HR"/>
        </w:rPr>
        <w:tab/>
        <w:t>Odluka će biti donesena u pisanom obliku.</w:t>
      </w:r>
    </w:p>
    <w:p w:rsidRPr="001F1ACE" w:rsidR="001F1ACE" w:rsidP="001F1ACE" w:rsidRDefault="001F1A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ab/>
      </w:r>
    </w:p>
    <w:p w:rsidRPr="001F1ACE" w:rsidR="001F1ACE" w:rsidP="001F1ACE" w:rsidRDefault="001F1AC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ab/>
        <w:t>S obzirom da se ročište održava na daljinu, nazočni potvrđuju da su tijek sastava zapisnika pratili putem zvučnika i putem ekrana na svojim računalima te da nemaju prigovora na sastav zapisnika.</w:t>
      </w:r>
    </w:p>
    <w:p w:rsidRPr="001F1ACE" w:rsidR="001F1ACE" w:rsidP="001F1ACE" w:rsidRDefault="001F1AC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ab/>
        <w:t xml:space="preserve">S obzirom da se ročište održava na daljinu, nazočni neće potpisati zapisnik, koji </w:t>
      </w:r>
      <w:r>
        <w:rPr>
          <w:rFonts w:eastAsia="Times New Roman" w:cs="Arial"/>
          <w:bCs/>
          <w:szCs w:val="24"/>
          <w:lang w:eastAsia="hr-HR"/>
        </w:rPr>
        <w:t>će se objaviti na e-Oglasnoj ploči suda</w:t>
      </w:r>
      <w:r w:rsidRPr="001F1ACE">
        <w:rPr>
          <w:rFonts w:eastAsia="Times New Roman" w:cs="Arial"/>
          <w:bCs/>
          <w:szCs w:val="24"/>
          <w:lang w:eastAsia="hr-HR"/>
        </w:rPr>
        <w:t>.</w:t>
      </w:r>
    </w:p>
    <w:p w:rsidRPr="001F1ACE" w:rsidR="001F1ACE" w:rsidP="001F1ACE" w:rsidRDefault="001F1AC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8C59FA" w:rsidP="001F1ACE" w:rsidRDefault="008C59FA">
      <w:pPr>
        <w:spacing w:after="0" w:line="240" w:lineRule="atLeast"/>
        <w:ind w:firstLine="708"/>
        <w:jc w:val="center"/>
        <w:rPr>
          <w:rFonts w:eastAsia="Times New Roman" w:cs="Arial"/>
          <w:bCs/>
          <w:szCs w:val="24"/>
          <w:lang w:eastAsia="hr-HR"/>
        </w:rPr>
      </w:pPr>
    </w:p>
    <w:p w:rsidR="008C59FA" w:rsidP="001F1ACE" w:rsidRDefault="008C59FA">
      <w:pPr>
        <w:spacing w:after="0" w:line="240" w:lineRule="atLeast"/>
        <w:ind w:firstLine="708"/>
        <w:jc w:val="center"/>
        <w:rPr>
          <w:rFonts w:eastAsia="Times New Roman" w:cs="Arial"/>
          <w:bCs/>
          <w:szCs w:val="24"/>
          <w:lang w:eastAsia="hr-HR"/>
        </w:rPr>
      </w:pPr>
    </w:p>
    <w:p w:rsidRPr="001F1ACE" w:rsidR="001F1ACE" w:rsidP="008C59FA" w:rsidRDefault="008C59F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szCs w:val="24"/>
          <w:lang w:eastAsia="hr-HR"/>
        </w:rPr>
        <w:t>Dovršeno u 10</w:t>
      </w:r>
      <w:r w:rsidRPr="001F1ACE" w:rsidR="001F1ACE">
        <w:rPr>
          <w:rFonts w:eastAsia="Times New Roman" w:cs="Arial"/>
          <w:szCs w:val="24"/>
          <w:lang w:eastAsia="hr-HR"/>
        </w:rPr>
        <w:t>:</w:t>
      </w:r>
      <w:r>
        <w:rPr>
          <w:rFonts w:eastAsia="Times New Roman" w:cs="Arial"/>
          <w:szCs w:val="24"/>
          <w:lang w:eastAsia="hr-HR"/>
        </w:rPr>
        <w:t>10</w:t>
      </w:r>
      <w:r w:rsidRPr="001F1ACE" w:rsidR="001F1ACE">
        <w:rPr>
          <w:rFonts w:eastAsia="Times New Roman" w:cs="Arial"/>
          <w:szCs w:val="24"/>
          <w:lang w:eastAsia="hr-HR"/>
        </w:rPr>
        <w:t xml:space="preserve"> sati.</w:t>
      </w:r>
    </w:p>
    <w:p w:rsidRPr="001F1ACE" w:rsidR="001F1ACE" w:rsidP="001F1ACE" w:rsidRDefault="001F1AC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1F1ACE" w:rsidP="001F1ACE" w:rsidRDefault="001F1AC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F1ACE" w:rsidR="0016678A" w:rsidP="001F1ACE" w:rsidRDefault="0016678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 xml:space="preserve">  </w:t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  <w:t xml:space="preserve">       Stečajni sudac</w:t>
      </w:r>
      <w:r w:rsidRPr="001F1ACE">
        <w:rPr>
          <w:rFonts w:eastAsia="Times New Roman" w:cs="Arial"/>
          <w:bCs/>
          <w:szCs w:val="24"/>
          <w:lang w:eastAsia="hr-HR"/>
        </w:rPr>
        <w:tab/>
        <w:t xml:space="preserve">         Stečajni upravitelj</w:t>
      </w:r>
    </w:p>
    <w:p w:rsidRPr="001F1ACE" w:rsidR="001F1ACE" w:rsidP="001F1ACE" w:rsidRDefault="001F1A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ab/>
      </w:r>
    </w:p>
    <w:p w:rsidRPr="001F1ACE" w:rsidR="001F1ACE" w:rsidP="001F1ACE" w:rsidRDefault="001F1A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1F1AC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1F1ACE">
        <w:rPr>
          <w:rFonts w:eastAsia="Times New Roman" w:cs="Arial"/>
          <w:bCs/>
          <w:szCs w:val="24"/>
          <w:lang w:eastAsia="hr-HR"/>
        </w:rPr>
        <w:tab/>
        <w:t xml:space="preserve">           Zapisničarka</w:t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</w:r>
      <w:r w:rsidRPr="001F1ACE">
        <w:rPr>
          <w:rFonts w:eastAsia="Times New Roman" w:cs="Arial"/>
          <w:bCs/>
          <w:szCs w:val="24"/>
          <w:lang w:eastAsia="hr-HR"/>
        </w:rPr>
        <w:tab/>
        <w:t>Vjerovnici</w:t>
      </w:r>
    </w:p>
    <w:p w:rsidRPr="001F1ACE" w:rsidR="001F1ACE" w:rsidP="001F1ACE" w:rsidRDefault="001F1A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F1ACE" w:rsidR="001F1ACE" w:rsidP="001F1ACE" w:rsidRDefault="001F1ACE">
      <w:pPr>
        <w:rPr>
          <w:rFonts w:asciiTheme="minorHAnsi" w:hAnsiTheme="minorHAnsi"/>
          <w:sz w:val="22"/>
        </w:rPr>
      </w:pPr>
    </w:p>
    <w:p w:rsidR="002410FA" w:rsidRDefault="002410FA"/>
    <w:sectPr w:rsidR="002410FA" w:rsidSect="0099218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1ACE" w:rsidP="001F1ACE" w:rsidRDefault="001F1ACE">
      <w:pPr>
        <w:spacing w:after="0" w:line="240" w:lineRule="auto"/>
      </w:pPr>
      <w:r>
        <w:separator/>
      </w:r>
    </w:p>
  </w:endnote>
  <w:endnote w:type="continuationSeparator" w:id="0">
    <w:p w:rsidR="001F1ACE" w:rsidP="001F1ACE" w:rsidRDefault="001F1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1F1ACE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8B6676">
    <w:pPr>
      <w:pStyle w:val="Podnoje"/>
      <w:ind w:right="360"/>
    </w:pPr>
  </w:p>
  <w:p w:rsidR="000E5907" w:rsidRDefault="008B6676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8B6676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8B667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1ACE" w:rsidP="001F1ACE" w:rsidRDefault="001F1ACE">
      <w:pPr>
        <w:spacing w:after="0" w:line="240" w:lineRule="auto"/>
      </w:pPr>
      <w:r>
        <w:separator/>
      </w:r>
    </w:p>
  </w:footnote>
  <w:footnote w:type="continuationSeparator" w:id="0">
    <w:p w:rsidR="001F1ACE" w:rsidP="001F1ACE" w:rsidRDefault="001F1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1F1AC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8B6676">
    <w:pPr>
      <w:pStyle w:val="Zaglavlje"/>
    </w:pPr>
  </w:p>
  <w:p w:rsidR="000E5907" w:rsidRDefault="008B6676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235D6" w:rsidR="000E5907" w:rsidP="00E235D6" w:rsidRDefault="008B6676">
    <w:pPr>
      <w:spacing w:line="240" w:lineRule="atLeast"/>
      <w:ind w:left="3540" w:firstLine="708"/>
      <w:rPr>
        <w:rFonts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1F1ACE">
          <w:fldChar w:fldCharType="begin"/>
        </w:r>
        <w:r w:rsidR="001F1ACE">
          <w:instrText>PAGE   \* MERGEFORMAT</w:instrText>
        </w:r>
        <w:r w:rsidR="001F1ACE">
          <w:fldChar w:fldCharType="separate"/>
        </w:r>
        <w:r>
          <w:rPr>
            <w:noProof/>
          </w:rPr>
          <w:t xml:space="preserve">- </w:t>
        </w:r>
        <w:r w:rsidRPr="008B6676">
          <w:rPr>
            <w:rFonts w:cs="Arial"/>
            <w:noProof/>
          </w:rPr>
          <w:t>2</w:t>
        </w:r>
        <w:r>
          <w:rPr>
            <w:noProof/>
          </w:rPr>
          <w:t xml:space="preserve"> -</w:t>
        </w:r>
        <w:r w:rsidR="001F1ACE">
          <w:fldChar w:fldCharType="end"/>
        </w:r>
        <w:r w:rsidR="001F1ACE">
          <w:t xml:space="preserve"> </w:t>
        </w:r>
        <w:r w:rsidR="001F1ACE">
          <w:tab/>
        </w:r>
        <w:r w:rsidR="001F1ACE">
          <w:tab/>
        </w:r>
        <w:r w:rsidR="001F1ACE">
          <w:tab/>
        </w:r>
        <w:r w:rsidR="001F1ACE">
          <w:tab/>
        </w:r>
      </w:sdtContent>
    </w:sdt>
    <w:r w:rsidRPr="001F1ACE" w:rsidR="001F1ACE">
      <w:rPr>
        <w:rFonts w:eastAsia="Times New Roman" w:cs="Arial"/>
        <w:bCs/>
        <w:szCs w:val="24"/>
        <w:lang w:eastAsia="hr-HR"/>
      </w:rPr>
      <w:t xml:space="preserve"> </w:t>
    </w:r>
    <w:r w:rsidR="001F1ACE">
      <w:rPr>
        <w:rFonts w:eastAsia="Times New Roman" w:cs="Arial"/>
        <w:bCs/>
        <w:szCs w:val="24"/>
        <w:lang w:eastAsia="hr-HR"/>
      </w:rPr>
      <w:t xml:space="preserve">    </w:t>
    </w:r>
    <w:r w:rsidRPr="001F1ACE" w:rsidR="001F1ACE">
      <w:rPr>
        <w:rFonts w:eastAsia="Times New Roman" w:cs="Arial"/>
        <w:bCs/>
        <w:szCs w:val="24"/>
        <w:lang w:eastAsia="hr-HR"/>
      </w:rPr>
      <w:t>St-</w:t>
    </w:r>
    <w:r w:rsidR="001F1ACE">
      <w:rPr>
        <w:rFonts w:eastAsia="Times New Roman" w:cs="Arial"/>
        <w:bCs/>
        <w:szCs w:val="24"/>
        <w:lang w:eastAsia="hr-HR"/>
      </w:rPr>
      <w:t>282</w:t>
    </w:r>
    <w:r w:rsidRPr="001F1ACE" w:rsidR="001F1ACE">
      <w:rPr>
        <w:rFonts w:eastAsia="Times New Roman" w:cs="Arial"/>
        <w:bCs/>
        <w:szCs w:val="24"/>
        <w:lang w:eastAsia="hr-HR"/>
      </w:rPr>
      <w:t>/</w:t>
    </w:r>
    <w:r w:rsidRPr="006A66B5" w:rsidR="001F1ACE">
      <w:rPr>
        <w:rFonts w:eastAsia="Times New Roman" w:cs="Arial"/>
        <w:bCs/>
        <w:szCs w:val="24"/>
        <w:lang w:eastAsia="hr-HR"/>
      </w:rPr>
      <w:t>2022-78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D7BFD"/>
    <w:multiLevelType w:val="hybridMultilevel"/>
    <w:tmpl w:val="D2A48E1C"/>
    <w:lvl w:ilvl="0" w:tplc="259C393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ACE"/>
    <w:rsid w:val="0016678A"/>
    <w:rsid w:val="001F1ACE"/>
    <w:rsid w:val="002410FA"/>
    <w:rsid w:val="005A0EC7"/>
    <w:rsid w:val="006A66B5"/>
    <w:rsid w:val="008B6676"/>
    <w:rsid w:val="008C59FA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6D38DC6-464E-41C0-93FD-99AA0298896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F1ACE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1F1ACE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1F1ACE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styleId="PodnojeChar" w:customStyle="true">
    <w:name w:val="Podnožje Char"/>
    <w:basedOn w:val="Zadanifontodlomka"/>
    <w:link w:val="Podnoje"/>
    <w:uiPriority w:val="99"/>
    <w:rsid w:val="001F1ACE"/>
    <w:rPr>
      <w:rFonts w:asciiTheme="minorHAnsi" w:hAnsiTheme="minorHAnsi"/>
      <w:sz w:val="22"/>
    </w:rPr>
  </w:style>
  <w:style w:type="character" w:styleId="Brojstranice">
    <w:name w:val="page number"/>
    <w:basedOn w:val="Zadanifontodlomka"/>
    <w:rsid w:val="001F1ACE"/>
  </w:style>
  <w:style w:type="paragraph" w:styleId="Default" w:customStyle="true">
    <w:name w:val="Default"/>
    <w:rsid w:val="001F1ACE"/>
    <w:pPr>
      <w:autoSpaceDE w:val="false"/>
      <w:autoSpaceDN w:val="false"/>
      <w:adjustRightInd w:val="false"/>
      <w:spacing w:after="0" w:line="240" w:lineRule="auto"/>
    </w:pPr>
    <w:rPr>
      <w:rFonts w:cs="Arial"/>
      <w:color w:val="000000"/>
      <w:szCs w:val="24"/>
    </w:rPr>
  </w:style>
  <w:style w:type="paragraph" w:styleId="Odlomakpopisa">
    <w:name w:val="List Paragraph"/>
    <w:basedOn w:val="Normal"/>
    <w:uiPriority w:val="34"/>
    <w:qFormat/>
    <w:rsid w:val="006A66B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B66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667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B6676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B667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B667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2025.</izvorni_sadrzaj>
    <derivirana_varijabla naziv="DomainObject.StvarniPocetakDatum_1">21. ožujka 2025.</derivirana_varijabla>
  </DomainObject.StvarniPocetakDatum>
  <DomainObject.StvarniZavrsetakDatum>
    <izvorni_sadrzaj>21. ožujka 2025.</izvorni_sadrzaj>
    <derivirana_varijabla naziv="DomainObject.StvarniZavrsetakDatum_1">21. ožujka 2025.</derivirana_varijabla>
  </DomainObject.StvarniZavrsetakDatum>
  <DomainObject.PlaniraniZavrsetakDatum>
    <izvorni_sadrzaj>21. ožujka 2025.</izvorni_sadrzaj>
    <derivirana_varijabla naziv="DomainObject.PlaniraniZavrsetakDatum_1">21. ožujka 2025.</derivirana_varijabla>
  </DomainObject.PlaniraniZavrsetakDatum>
  <DomainObject.PlaniraniPocetakDatum>
    <izvorni_sadrzaj>21. ožujka 2025.</izvorni_sadrzaj>
    <derivirana_varijabla naziv="DomainObject.PlaniraniPocetakDatum_1">21. ožujka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2025.</izvorni_sadrzaj>
    <derivirana_varijabla naziv="DomainObject.Zapisnik.DatumKreiranja_1">21.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St-282/2022-78</izvorni_sadrzaj>
    <derivirana_varijabla naziv="DomainObject.Zapisnik.Oznaka_1">St-282/2022-78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kolovoza 2022.</izvorni_sadrzaj>
    <derivirana_varijabla naziv="DomainObject.Predmet.DatumIzradeOptuznogAkta_1">10. kolovoza 2022.</derivirana_varijabla>
  </DomainObject.Predmet.DatumIzradeOptuznogAkta>
  <DomainObject.Predmet.DatumIzradeOptuznogAktaFormated>
    <izvorni_sadrzaj>10.8.2022.</izvorni_sadrzaj>
    <derivirana_varijabla naziv="DomainObject.Predmet.DatumIzradeOptuznogAktaFormated_1">10.8.2022.</derivirana_varijabla>
  </DomainObject.Predmet.DatumIzradeOptuznogAktaFormated>
  <DomainObject.Predmet.DatumOsnivanja>
    <izvorni_sadrzaj>11. kolovoza 2022.</izvorni_sadrzaj>
    <derivirana_varijabla naziv="DomainObject.Predmet.DatumOsnivanja_1">11.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kolovoza 2022.</izvorni_sadrzaj>
    <derivirana_varijabla naziv="DomainObject.Predmet.DatumPrimitkaOptuznogAkta_1">10.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St-282/2022</izvorni_sadrzaj>
    <derivirana_varijabla naziv="DomainObject.Predmet.OznakaBroj_1">St-282/2022</derivirana_varijabla>
  </DomainObject.Predmet.OznakaBroj>
  <DomainObject.Predmet.OznakaBrojOptuznogAkta>
    <izvorni_sadrzaj>04-06-22-4039</izvorni_sadrzaj>
    <derivirana_varijabla naziv="DomainObject.Predmet.OznakaBrojOptuznogAkta_1">04-06-22-4039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PRODUZIONE ECO d.o.o. UMAG</izvorni_sadrzaj>
    <derivirana_varijabla naziv="DomainObject.Predmet.ProtustrankaFormated_1">  PRODUZIONE ECO d.o.o. UMAG</derivirana_varijabla>
  </DomainObject.Predmet.ProtustrankaFormated>
  <DomainObject.Predmet.ProtustrankaFormatedOIB>
    <izvorni_sadrzaj>  PRODUZIONE ECO d.o.o. UMAG, OIB 93307019963</izvorni_sadrzaj>
    <derivirana_varijabla naziv="DomainObject.Predmet.ProtustrankaFormatedOIB_1">  PRODUZIONE ECO d.o.o. UMAG, OIB 93307019963</derivirana_varijabla>
  </DomainObject.Predmet.ProtustrankaFormatedOIB>
  <DomainObject.Predmet.ProtustrankaFormatedWithAdress>
    <izvorni_sadrzaj> PRODUZIONE ECO d.o.o. UMAG, Ulica Tribje - Via Tribie 23, 52470 Umag</izvorni_sadrzaj>
    <derivirana_varijabla naziv="DomainObject.Predmet.ProtustrankaFormatedWithAdress_1"> PRODUZIONE ECO d.o.o. UMAG, Ulica Tribje - Via Tribie 23, 52470 Umag</derivirana_varijabla>
  </DomainObject.Predmet.ProtustrankaFormatedWithAdress>
  <DomainObject.Predmet.ProtustrankaFormatedWithAdressOIB>
    <izvorni_sadrzaj> PRODUZIONE ECO d.o.o. UMAG, OIB 93307019963, Ulica Tribje - Via Tribie 23, 52470 Umag</izvorni_sadrzaj>
    <derivirana_varijabla naziv="DomainObject.Predmet.ProtustrankaFormatedWithAdressOIB_1"> PRODUZIONE ECO d.o.o. UMAG, OIB 93307019963, Ulica Tribje - Via Tribie 23, 52470 Umag</derivirana_varijabla>
  </DomainObject.Predmet.ProtustrankaFormatedWithAdressOIB>
  <DomainObject.Predmet.ProtustrankaWithAdress>
    <izvorni_sadrzaj>PRODUZIONE ECO d.o.o. UMAG Ulica Tribje - Via Tribie 23, 52470 Umag</izvorni_sadrzaj>
    <derivirana_varijabla naziv="DomainObject.Predmet.ProtustrankaWithAdress_1">PRODUZIONE ECO d.o.o. UMAG Ulica Tribje - Via Tribie 23, 52470 Umag</derivirana_varijabla>
  </DomainObject.Predmet.ProtustrankaWithAdress>
  <DomainObject.Predmet.ProtustrankaWithAdressOIB>
    <izvorni_sadrzaj>PRODUZIONE ECO d.o.o. UMAG, OIB 93307019963, Ulica Tribje - Via Tribie 23, 52470 Umag</izvorni_sadrzaj>
    <derivirana_varijabla naziv="DomainObject.Predmet.ProtustrankaWithAdressOIB_1">PRODUZIONE ECO d.o.o. UMAG, OIB 93307019963, Ulica Tribje - Via Tribie 23, 52470 Umag</derivirana_varijabla>
  </DomainObject.Predmet.ProtustrankaWithAdressOIB>
  <DomainObject.Predmet.ProtustrankaNazivFormated>
    <izvorni_sadrzaj>PRODUZIONE ECO d.o.o. UMAG</izvorni_sadrzaj>
    <derivirana_varijabla naziv="DomainObject.Predmet.ProtustrankaNazivFormated_1">PRODUZIONE ECO d.o.o. UMAG</derivirana_varijabla>
  </DomainObject.Predmet.ProtustrankaNazivFormated>
  <DomainObject.Predmet.ProtustrankaNazivFormatedOIB>
    <izvorni_sadrzaj>PRODUZIONE ECO d.o.o. UMAG, OIB 93307019963</izvorni_sadrzaj>
    <derivirana_varijabla naziv="DomainObject.Predmet.ProtustrankaNazivFormatedOIB_1">PRODUZIONE ECO d.o.o. UMAG, OIB 93307019963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2170.58</izvorni_sadrzaj>
    <derivirana_varijabla naziv="DomainObject.Predmet.TrenutnaVrijednost_1">2170.58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PRODUZIONE ECO d.o.o. UMAG</item>
    </izvorni_sadrzaj>
    <derivirana_varijabla naziv="DomainObject.Predmet.ProtuStrankaListFormated_1">
      <item>PRODUZIONE ECO d.o.o. UMAG</item>
    </derivirana_varijabla>
  </DomainObject.Predmet.ProtuStrankaListFormated>
  <DomainObject.Predmet.ProtuStrankaListFormatedOIB>
    <izvorni_sadrzaj>
      <item>PRODUZIONE ECO d.o.o. UMAG, OIB 93307019963</item>
    </izvorni_sadrzaj>
    <derivirana_varijabla naziv="DomainObject.Predmet.ProtuStrankaListFormatedOIB_1">
      <item>PRODUZIONE ECO d.o.o. UMAG, OIB 93307019963</item>
    </derivirana_varijabla>
  </DomainObject.Predmet.ProtuStrankaListFormatedOIB>
  <DomainObject.Predmet.ProtuStrankaListFormatedWithAdress>
    <izvorni_sadrzaj>
      <item>PRODUZIONE ECO d.o.o. UMAG, Ulica Tribje - Via Tribie 23, 52470 Umag</item>
    </izvorni_sadrzaj>
    <derivirana_varijabla naziv="DomainObject.Predmet.ProtuStrankaListFormatedWithAdress_1">
      <item>PRODUZIONE ECO d.o.o. UMAG, Ulica Tribje - Via Tribie 23, 52470 Umag</item>
    </derivirana_varijabla>
  </DomainObject.Predmet.ProtuStrankaListFormatedWithAdress>
  <DomainObject.Predmet.ProtuStrankaListFormatedWithAdressOIB>
    <izvorni_sadrzaj>
      <item>PRODUZIONE ECO d.o.o. UMAG, OIB 93307019963, Ulica Tribje - Via Tribie 23, 52470 Umag</item>
    </izvorni_sadrzaj>
    <derivirana_varijabla naziv="DomainObject.Predmet.ProtuStrankaListFormatedWithAdressOIB_1">
      <item>PRODUZIONE ECO d.o.o. UMAG, OIB 93307019963, Ulica Tribje - Via Tribie 23, 52470 Umag</item>
    </derivirana_varijabla>
  </DomainObject.Predmet.ProtuStrankaListFormatedWithAdressOIB>
  <DomainObject.Predmet.ProtuStrankaListNazivFormated>
    <izvorni_sadrzaj>
      <item>PRODUZIONE ECO d.o.o. UMAG</item>
    </izvorni_sadrzaj>
    <derivirana_varijabla naziv="DomainObject.Predmet.ProtuStrankaListNazivFormated_1">
      <item>PRODUZIONE ECO d.o.o. UMAG</item>
    </derivirana_varijabla>
  </DomainObject.Predmet.ProtuStrankaListNazivFormated>
  <DomainObject.Predmet.ProtuStrankaListNazivFormatedOIB>
    <izvorni_sadrzaj>
      <item>PRODUZIONE ECO d.o.o. UMAG, OIB 93307019963</item>
    </izvorni_sadrzaj>
    <derivirana_varijabla naziv="DomainObject.Predmet.ProtuStrankaListNazivFormatedOIB_1">
      <item>PRODUZIONE ECO d.o.o. UMAG, OIB 93307019963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ožujka 2025.</izvorni_sadrzaj>
    <derivirana_varijabla naziv="DomainObject.Datum_1">21. ožujka 2025.</derivirana_varijabla>
  </DomainObject.Datum>
  <DomainObject.PoslovniBrojDokumenta>
    <izvorni_sadrzaj>St-282/2022-78</izvorni_sadrzaj>
    <derivirana_varijabla naziv="DomainObject.PoslovniBrojDokumenta_1">St-282/2022-78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PRODUZIONE ECO d.o.o. UMAG</izvorni_sadrzaj>
    <derivirana_varijabla naziv="DomainObject.Predmet.ProtustrankaIDrugi_1">PRODUZIONE ECO d.o.o.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PRODUZIONE ECO d.o.o. UMAG, OIB 93307019963, Ulica Tribje - Via Tribie 23, 52470 Umag</izvorni_sadrzaj>
    <derivirana_varijabla naziv="DomainObject.Predmet.ProtustrankaIDrugiAdressOIB_1">PRODUZIONE ECO d.o.o. UMAG, OIB 93307019963, Ulica Tribje - Via Tribie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PRODUZIONE ECO d.o.o. UMAG</item>
      <item>Financijska agencija (FINA)</item>
    </izvorni_sadrzaj>
    <derivirana_varijabla naziv="DomainObject.Predmet.SudioniciListNaziv_1">
      <item>PRODUZIONE ECO d.o.o. UMAG</item>
      <item>Financijska agencija (FINA)</item>
    </derivirana_varijabla>
  </DomainObject.Predmet.SudioniciListNaziv>
  <DomainObject.Predmet.SudioniciListAdressOIB>
    <izvorni_sadrzaj>
      <item>PRODUZIONE ECO d.o.o. UMAG, OIB 93307019963, Ulica Tribje - Via Tribie 23,52470 Umag</item>
      <item>Financijska agencija (FINA), OIB 85821130368, GIARDINI 5,52100 Pula</item>
    </izvorni_sadrzaj>
    <derivirana_varijabla naziv="DomainObject.Predmet.SudioniciListAdressOIB_1">
      <item>PRODUZIONE ECO d.o.o. UMAG, OIB 93307019963, Ulica Tribje - Via Tribie 23,52470 Umag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93307019963</item>
      <item>, OIB 85821130368</item>
    </izvorni_sadrzaj>
    <derivirana_varijabla naziv="DomainObject.Predmet.SudioniciListNazivOIB_1">
      <item>, OIB 93307019963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kolovoza 2022.</izvorni_sadrzaj>
    <derivirana_varijabla naziv="DomainObject.Predmet.DatumPocetkaProcesa_1">11.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330</properties:Words>
  <properties:Characters>1824</properties:Characters>
  <properties:Lines>91</properties:Lines>
  <properties:Paragraphs>41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2025-03-21T07:21:00Z</dcterms:created>
  <dc:creator>Jasmina Matika</dc:creator>
  <dc:description/>
  <cp:keywords/>
  <cp:lastModifiedBy>Karin Vicel</cp:lastModifiedBy>
  <dcterms:modified xmlns:xsi="http://www.w3.org/2001/XMLSchema-instance" xsi:type="dcterms:W3CDTF">2025-03-21T09:13:00Z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St-282/2022-78 / Zapisnik - Završno ročište vjerovnika (St-282-22 - ZAPISNIK - ZAVRŠNO ROČIŠTE - 21-3-25 - s Rabar.docx)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